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E336" w14:textId="77777777" w:rsidR="00D92A6B" w:rsidRPr="00D92A6B" w:rsidRDefault="00D92A6B" w:rsidP="00D92A6B">
      <w:pPr>
        <w:pStyle w:val="BodyCopy"/>
        <w:jc w:val="center"/>
        <w:rPr>
          <w:b/>
          <w:sz w:val="28"/>
          <w:szCs w:val="28"/>
          <w:lang w:val="cs-CZ"/>
        </w:rPr>
      </w:pPr>
      <w:r w:rsidRPr="00D92A6B">
        <w:rPr>
          <w:b/>
          <w:sz w:val="28"/>
          <w:szCs w:val="28"/>
          <w:lang w:val="cs-CZ"/>
        </w:rPr>
        <w:t>Prodej hotelu Hilton Prague je dokončen. Jedná se o největší samostatnou hotelovou transakci v historii CEE</w:t>
      </w:r>
    </w:p>
    <w:p w14:paraId="41780AB7" w14:textId="77777777" w:rsidR="00904FEF" w:rsidRPr="00D92A6B" w:rsidRDefault="00904FEF" w:rsidP="00E02087">
      <w:pPr>
        <w:pStyle w:val="BodyCopy"/>
        <w:rPr>
          <w:color w:val="auto"/>
        </w:rPr>
      </w:pPr>
    </w:p>
    <w:p w14:paraId="6F3AEA3E" w14:textId="1CAD27BF" w:rsidR="00D92A6B" w:rsidRPr="00D92A6B" w:rsidRDefault="00D92A6B" w:rsidP="00D92A6B">
      <w:pPr>
        <w:rPr>
          <w:color w:val="425254" w:themeColor="text1"/>
          <w:sz w:val="22"/>
          <w:szCs w:val="22"/>
          <w:lang w:val="cs-CZ"/>
        </w:rPr>
      </w:pPr>
      <w:r w:rsidRPr="00D92A6B">
        <w:rPr>
          <w:b/>
          <w:bCs/>
          <w:color w:val="425254" w:themeColor="text1"/>
          <w:sz w:val="22"/>
          <w:szCs w:val="22"/>
          <w:lang w:val="cs-CZ"/>
        </w:rPr>
        <w:t>Praha – 24. února 2025</w:t>
      </w:r>
      <w:r w:rsidRPr="00D92A6B">
        <w:rPr>
          <w:color w:val="425254" w:themeColor="text1"/>
          <w:sz w:val="22"/>
          <w:szCs w:val="22"/>
          <w:lang w:val="cs-CZ"/>
        </w:rPr>
        <w:t xml:space="preserve"> – Globální realitně-poradenská společnost CBRE zastupovala </w:t>
      </w:r>
      <w:proofErr w:type="spellStart"/>
      <w:r w:rsidRPr="00D92A6B">
        <w:rPr>
          <w:color w:val="425254" w:themeColor="text1"/>
          <w:sz w:val="22"/>
          <w:szCs w:val="22"/>
          <w:lang w:val="cs-CZ"/>
        </w:rPr>
        <w:t>Irish</w:t>
      </w:r>
      <w:proofErr w:type="spellEnd"/>
      <w:r w:rsidRPr="00D92A6B">
        <w:rPr>
          <w:color w:val="425254" w:themeColor="text1"/>
          <w:sz w:val="22"/>
          <w:szCs w:val="22"/>
          <w:lang w:val="cs-CZ"/>
        </w:rPr>
        <w:t xml:space="preserve"> Bank </w:t>
      </w:r>
      <w:proofErr w:type="spellStart"/>
      <w:r w:rsidRPr="00D92A6B">
        <w:rPr>
          <w:color w:val="425254" w:themeColor="text1"/>
          <w:sz w:val="22"/>
          <w:szCs w:val="22"/>
          <w:lang w:val="cs-CZ"/>
        </w:rPr>
        <w:t>Resolution</w:t>
      </w:r>
      <w:proofErr w:type="spellEnd"/>
      <w:r w:rsidRPr="00D92A6B">
        <w:rPr>
          <w:color w:val="425254" w:themeColor="text1"/>
          <w:sz w:val="22"/>
          <w:szCs w:val="22"/>
          <w:lang w:val="cs-CZ"/>
        </w:rPr>
        <w:t xml:space="preserve"> </w:t>
      </w:r>
      <w:proofErr w:type="spellStart"/>
      <w:r w:rsidRPr="00D92A6B">
        <w:rPr>
          <w:color w:val="425254" w:themeColor="text1"/>
          <w:sz w:val="22"/>
          <w:szCs w:val="22"/>
          <w:lang w:val="cs-CZ"/>
        </w:rPr>
        <w:t>Corporation</w:t>
      </w:r>
      <w:proofErr w:type="spellEnd"/>
      <w:r w:rsidRPr="00D92A6B">
        <w:rPr>
          <w:color w:val="425254" w:themeColor="text1"/>
          <w:sz w:val="22"/>
          <w:szCs w:val="22"/>
          <w:lang w:val="cs-CZ"/>
        </w:rPr>
        <w:t xml:space="preserve"> při prodeji hotelu Hilton Prague. Právě uzavřená transakce představuje největší prodej samostatné hotelové nemovitosti, jež kdy byla v regionu střední a východní Evropy realizována. Hotel, který koupila česká skupina PPF, je největším značkovým hotelem v České republice a jedním z předních evropských hotelů pro</w:t>
      </w:r>
      <w:r w:rsidR="00284B93">
        <w:rPr>
          <w:color w:val="425254" w:themeColor="text1"/>
          <w:sz w:val="22"/>
          <w:szCs w:val="22"/>
          <w:lang w:val="cs-CZ"/>
        </w:rPr>
        <w:t> </w:t>
      </w:r>
      <w:r w:rsidRPr="00D92A6B">
        <w:rPr>
          <w:color w:val="425254" w:themeColor="text1"/>
          <w:sz w:val="22"/>
          <w:szCs w:val="22"/>
          <w:lang w:val="cs-CZ"/>
        </w:rPr>
        <w:t>pořádání akcí a konferencí.</w:t>
      </w:r>
    </w:p>
    <w:p w14:paraId="4239460F" w14:textId="77777777" w:rsidR="00D92A6B" w:rsidRPr="00D92A6B" w:rsidRDefault="00D92A6B" w:rsidP="00D92A6B">
      <w:pPr>
        <w:rPr>
          <w:color w:val="425254" w:themeColor="text1"/>
          <w:sz w:val="22"/>
          <w:szCs w:val="22"/>
          <w:lang w:val="cs-CZ"/>
        </w:rPr>
      </w:pPr>
    </w:p>
    <w:p w14:paraId="2A4178E7" w14:textId="12F52117" w:rsidR="00D92A6B" w:rsidRPr="00D92A6B" w:rsidRDefault="00D92A6B" w:rsidP="00D92A6B">
      <w:pPr>
        <w:rPr>
          <w:color w:val="425254" w:themeColor="text1"/>
          <w:sz w:val="22"/>
          <w:szCs w:val="22"/>
          <w:lang w:val="cs-CZ"/>
        </w:rPr>
      </w:pPr>
      <w:r w:rsidRPr="00D92A6B">
        <w:rPr>
          <w:color w:val="425254" w:themeColor="text1"/>
          <w:sz w:val="22"/>
          <w:szCs w:val="22"/>
          <w:lang w:val="cs-CZ"/>
        </w:rPr>
        <w:t>Hilton Prague nabízí 791 pokojů, šest restauračních a barových zařízení, rozsáhlé volnočasové zázemí a přibližně 5 000 m² konferenčních prostor. Nachází se v atraktivní lokalitě na břehu řeky Vltavy, na pomezí historického centra a dynamicky se rozvíjejícího Karlína v blízkosti českých centrál významných globálních společností a</w:t>
      </w:r>
      <w:r w:rsidR="00284B93">
        <w:rPr>
          <w:color w:val="425254" w:themeColor="text1"/>
          <w:sz w:val="22"/>
          <w:szCs w:val="22"/>
          <w:lang w:val="cs-CZ"/>
        </w:rPr>
        <w:t> </w:t>
      </w:r>
      <w:r w:rsidRPr="00D92A6B">
        <w:rPr>
          <w:color w:val="425254" w:themeColor="text1"/>
          <w:sz w:val="22"/>
          <w:szCs w:val="22"/>
          <w:lang w:val="cs-CZ"/>
        </w:rPr>
        <w:t>vládních institucí.</w:t>
      </w:r>
    </w:p>
    <w:p w14:paraId="2CC80C63" w14:textId="77777777" w:rsidR="00D92A6B" w:rsidRPr="00D92A6B" w:rsidRDefault="00D92A6B" w:rsidP="00D92A6B">
      <w:pPr>
        <w:rPr>
          <w:color w:val="425254" w:themeColor="text1"/>
          <w:sz w:val="22"/>
          <w:szCs w:val="22"/>
          <w:lang w:val="cs-CZ"/>
        </w:rPr>
      </w:pPr>
    </w:p>
    <w:p w14:paraId="118FFCF9" w14:textId="77777777" w:rsidR="00D92A6B" w:rsidRPr="00D92A6B" w:rsidRDefault="00D92A6B" w:rsidP="00D92A6B">
      <w:pPr>
        <w:rPr>
          <w:color w:val="425254" w:themeColor="text1"/>
          <w:sz w:val="22"/>
          <w:szCs w:val="22"/>
          <w:lang w:val="cs-CZ"/>
        </w:rPr>
      </w:pPr>
      <w:r w:rsidRPr="00D92A6B">
        <w:rPr>
          <w:color w:val="425254" w:themeColor="text1"/>
          <w:sz w:val="22"/>
          <w:szCs w:val="22"/>
          <w:lang w:val="cs-CZ"/>
        </w:rPr>
        <w:t>Hilton Prague těžil z výrazného oživení cestovního ruchu a zájmu firem o opětovné pořádání konferencí, kongresů a firemních akcí po pandemii. Předchozí majitelé tento trend ještě podpořili, když do rozvoje hotelu výrazně investovali. Od roku 2018 přes 50 milionů eur.</w:t>
      </w:r>
    </w:p>
    <w:p w14:paraId="5BE8891D" w14:textId="77777777" w:rsidR="00D92A6B" w:rsidRPr="00D92A6B" w:rsidRDefault="00D92A6B" w:rsidP="00D92A6B">
      <w:pPr>
        <w:rPr>
          <w:color w:val="425254" w:themeColor="text1"/>
          <w:sz w:val="22"/>
          <w:szCs w:val="22"/>
          <w:lang w:val="cs-CZ"/>
        </w:rPr>
      </w:pPr>
    </w:p>
    <w:p w14:paraId="7D5A1ECE" w14:textId="53B4B083" w:rsidR="00D92A6B" w:rsidRPr="00D92A6B" w:rsidRDefault="00D92A6B" w:rsidP="00D92A6B">
      <w:pPr>
        <w:rPr>
          <w:sz w:val="22"/>
          <w:szCs w:val="22"/>
          <w:lang w:val="cs-CZ"/>
        </w:rPr>
      </w:pPr>
      <w:r w:rsidRPr="00D92A6B">
        <w:rPr>
          <w:i/>
          <w:iCs/>
          <w:color w:val="425254" w:themeColor="text1"/>
          <w:sz w:val="22"/>
          <w:szCs w:val="22"/>
          <w:lang w:val="cs-CZ"/>
        </w:rPr>
        <w:t>„V Evropě je jen málo hotelů, které jsou tak dobře připraveny na potřeby dnešního globálního trhu s kongresovou turistikou, jako je Hilton Prague. Jak jsme očekávali již v červenci minulého roku, zájem investorů byl během celého výběrového řízení značný,“</w:t>
      </w:r>
      <w:r w:rsidRPr="00D92A6B">
        <w:rPr>
          <w:color w:val="425254" w:themeColor="text1"/>
          <w:sz w:val="22"/>
          <w:szCs w:val="22"/>
          <w:lang w:val="cs-CZ"/>
        </w:rPr>
        <w:t xml:space="preserve"> uvedl </w:t>
      </w:r>
      <w:r w:rsidRPr="00D92A6B">
        <w:rPr>
          <w:b/>
          <w:bCs/>
          <w:color w:val="425254" w:themeColor="text1"/>
          <w:sz w:val="22"/>
          <w:szCs w:val="22"/>
          <w:lang w:val="cs-CZ"/>
        </w:rPr>
        <w:t xml:space="preserve">Kenneth </w:t>
      </w:r>
      <w:proofErr w:type="spellStart"/>
      <w:r w:rsidRPr="00D92A6B">
        <w:rPr>
          <w:b/>
          <w:bCs/>
          <w:color w:val="425254" w:themeColor="text1"/>
          <w:sz w:val="22"/>
          <w:szCs w:val="22"/>
          <w:lang w:val="cs-CZ"/>
        </w:rPr>
        <w:t>Hatton</w:t>
      </w:r>
      <w:proofErr w:type="spellEnd"/>
      <w:r w:rsidRPr="00D92A6B">
        <w:rPr>
          <w:b/>
          <w:bCs/>
          <w:color w:val="425254" w:themeColor="text1"/>
          <w:sz w:val="22"/>
          <w:szCs w:val="22"/>
          <w:lang w:val="cs-CZ"/>
        </w:rPr>
        <w:t>, vedoucí hotelového oddělení CBRE pro Evropu</w:t>
      </w:r>
      <w:r>
        <w:rPr>
          <w:color w:val="425254" w:themeColor="text1"/>
          <w:sz w:val="22"/>
          <w:szCs w:val="22"/>
          <w:lang w:val="cs-CZ"/>
        </w:rPr>
        <w:t xml:space="preserve">. </w:t>
      </w:r>
      <w:r w:rsidRPr="00D92A6B">
        <w:rPr>
          <w:i/>
          <w:iCs/>
          <w:color w:val="425254" w:themeColor="text1"/>
          <w:sz w:val="22"/>
          <w:szCs w:val="22"/>
          <w:lang w:val="cs-CZ"/>
        </w:rPr>
        <w:t>„Tato transakce, která je největším prodejem samostatného hotelového aktiva v historii CEE regionu, potvrzuje atraktivitu velkých evropských měst, jež dokáží vyhovět poptávce po obchodních i rekreačních pobytech. Zároveň stvrzuje obnovený zájem korporátní sféry a tím i investorů o kvalitní hotely s ideální polohou pro pořádání akcí a</w:t>
      </w:r>
      <w:r w:rsidR="00284B93">
        <w:rPr>
          <w:i/>
          <w:iCs/>
          <w:color w:val="425254" w:themeColor="text1"/>
          <w:sz w:val="22"/>
          <w:szCs w:val="22"/>
          <w:lang w:val="cs-CZ"/>
        </w:rPr>
        <w:t> </w:t>
      </w:r>
      <w:r w:rsidRPr="00D92A6B">
        <w:rPr>
          <w:i/>
          <w:iCs/>
          <w:color w:val="425254" w:themeColor="text1"/>
          <w:sz w:val="22"/>
          <w:szCs w:val="22"/>
          <w:lang w:val="cs-CZ"/>
        </w:rPr>
        <w:t>kongresů,“</w:t>
      </w:r>
      <w:r w:rsidRPr="00D92A6B">
        <w:rPr>
          <w:color w:val="425254" w:themeColor="text1"/>
          <w:sz w:val="22"/>
          <w:szCs w:val="22"/>
          <w:lang w:val="cs-CZ"/>
        </w:rPr>
        <w:t xml:space="preserve"> </w:t>
      </w:r>
      <w:r>
        <w:rPr>
          <w:color w:val="425254" w:themeColor="text1"/>
          <w:sz w:val="22"/>
          <w:szCs w:val="22"/>
          <w:lang w:val="cs-CZ"/>
        </w:rPr>
        <w:t>d</w:t>
      </w:r>
      <w:r w:rsidRPr="00D92A6B">
        <w:rPr>
          <w:color w:val="425254" w:themeColor="text1"/>
          <w:sz w:val="22"/>
          <w:szCs w:val="22"/>
          <w:lang w:val="cs-CZ"/>
        </w:rPr>
        <w:t xml:space="preserve">oplnil </w:t>
      </w:r>
      <w:r w:rsidRPr="00D92A6B">
        <w:rPr>
          <w:b/>
          <w:bCs/>
          <w:color w:val="425254" w:themeColor="text1"/>
          <w:sz w:val="22"/>
          <w:szCs w:val="22"/>
          <w:lang w:val="cs-CZ"/>
        </w:rPr>
        <w:t>Jakub Stanislav, vedoucí investičního oddělení v CBRE Česká republika</w:t>
      </w:r>
      <w:r w:rsidRPr="00D92A6B">
        <w:rPr>
          <w:color w:val="425254" w:themeColor="text1"/>
          <w:sz w:val="22"/>
          <w:szCs w:val="22"/>
          <w:lang w:val="cs-CZ"/>
        </w:rPr>
        <w:t>.</w:t>
      </w:r>
    </w:p>
    <w:p w14:paraId="5264A95D" w14:textId="77777777" w:rsidR="00D92A6B" w:rsidRDefault="00D92A6B" w:rsidP="00D92A6B">
      <w:pPr>
        <w:rPr>
          <w:sz w:val="22"/>
          <w:szCs w:val="22"/>
        </w:rPr>
      </w:pPr>
    </w:p>
    <w:p w14:paraId="1EC945A1" w14:textId="0CFA5E7B" w:rsidR="00162C07" w:rsidRPr="00EE0991" w:rsidRDefault="00162C07" w:rsidP="00D92A6B">
      <w:pPr>
        <w:rPr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D92A6B" w:rsidRPr="000C1730" w14:paraId="59A8C662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B4C54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proofErr w:type="spellStart"/>
            <w:r w:rsidRPr="000C1730">
              <w:rPr>
                <w:b/>
                <w:bCs/>
                <w:sz w:val="21"/>
                <w:szCs w:val="21"/>
              </w:rPr>
              <w:t>Kontakty</w:t>
            </w:r>
            <w:proofErr w:type="spellEnd"/>
            <w:r w:rsidRPr="000C1730">
              <w:rPr>
                <w:b/>
                <w:bCs/>
                <w:sz w:val="21"/>
                <w:szCs w:val="21"/>
              </w:rPr>
              <w:t>:</w:t>
            </w: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125A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</w:tr>
      <w:tr w:rsidR="00D92A6B" w:rsidRPr="000C1730" w14:paraId="03C64F84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F8694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b/>
                <w:bCs/>
                <w:sz w:val="21"/>
                <w:szCs w:val="21"/>
              </w:rPr>
              <w:t xml:space="preserve">Crest Communications, </w:t>
            </w:r>
            <w:proofErr w:type="spellStart"/>
            <w:r w:rsidRPr="000C1730">
              <w:rPr>
                <w:b/>
                <w:bCs/>
                <w:sz w:val="21"/>
                <w:szCs w:val="21"/>
              </w:rPr>
              <w:t>a.s.</w:t>
            </w:r>
            <w:proofErr w:type="spellEnd"/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A199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</w:tr>
      <w:tr w:rsidR="00D92A6B" w:rsidRPr="000C1730" w14:paraId="2BA34FB8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521C4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</w:rPr>
              <w:t>Denisa Kolaříková</w:t>
            </w: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D397E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</w:rPr>
              <w:t>Kamila Čadková</w:t>
            </w: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</w:tr>
      <w:tr w:rsidR="00D92A6B" w:rsidRPr="000C1730" w14:paraId="65E28DA6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6217B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</w:rPr>
              <w:t>Account Manager</w:t>
            </w: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F4B25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</w:rPr>
              <w:t>Account Director</w:t>
            </w: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</w:tr>
      <w:tr w:rsidR="00D92A6B" w:rsidRPr="000C1730" w14:paraId="474413C5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116E3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</w:rPr>
              <w:t>T: +420 731 613 606    </w:t>
            </w: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7C66E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</w:rPr>
              <w:t>T: +420 731 613 609</w:t>
            </w: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</w:tr>
      <w:tr w:rsidR="00D92A6B" w:rsidRPr="000C1730" w14:paraId="4B5CE4A1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7540C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</w:rPr>
              <w:t xml:space="preserve">e-mail: </w:t>
            </w:r>
            <w:hyperlink r:id="rId9" w:tgtFrame="_blank" w:history="1">
              <w:r w:rsidRPr="000C1730">
                <w:rPr>
                  <w:rStyle w:val="Hypertextovodkaz"/>
                  <w:sz w:val="21"/>
                  <w:szCs w:val="21"/>
                </w:rPr>
                <w:t>denisa.kolarikova@crestcom.cz</w:t>
              </w:r>
            </w:hyperlink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FFDEB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</w:rPr>
              <w:t xml:space="preserve">e-mail: </w:t>
            </w:r>
            <w:hyperlink r:id="rId10" w:tgtFrame="_blank" w:history="1">
              <w:r w:rsidRPr="000C1730">
                <w:rPr>
                  <w:rStyle w:val="Hypertextovodkaz"/>
                  <w:sz w:val="21"/>
                  <w:szCs w:val="21"/>
                </w:rPr>
                <w:t>kamila.cadkova@crestcom.cz</w:t>
              </w:r>
            </w:hyperlink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</w:tr>
      <w:tr w:rsidR="00D92A6B" w:rsidRPr="000C1730" w14:paraId="7F201441" w14:textId="77777777" w:rsidTr="00D92A6B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BE089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hyperlink r:id="rId11" w:tgtFrame="_blank" w:history="1">
              <w:r w:rsidRPr="000C1730">
                <w:rPr>
                  <w:rStyle w:val="Hypertextovodkaz"/>
                  <w:sz w:val="21"/>
                  <w:szCs w:val="21"/>
                </w:rPr>
                <w:t>www.crestcom.cz</w:t>
              </w:r>
            </w:hyperlink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BEC3" w14:textId="77777777" w:rsidR="00D92A6B" w:rsidRPr="000C1730" w:rsidRDefault="00D92A6B" w:rsidP="00D92A6B">
            <w:pPr>
              <w:pStyle w:val="BodyCopy"/>
              <w:rPr>
                <w:sz w:val="21"/>
                <w:szCs w:val="21"/>
                <w:lang w:val="en-GB"/>
              </w:rPr>
            </w:pPr>
            <w:r w:rsidRPr="000C1730">
              <w:rPr>
                <w:sz w:val="21"/>
                <w:szCs w:val="21"/>
                <w:lang w:val="en-GB"/>
              </w:rPr>
              <w:t> </w:t>
            </w:r>
          </w:p>
        </w:tc>
      </w:tr>
    </w:tbl>
    <w:p w14:paraId="0CB60484" w14:textId="77777777" w:rsidR="00D92A6B" w:rsidRPr="000C1730" w:rsidRDefault="00D92A6B" w:rsidP="00D92A6B">
      <w:pPr>
        <w:pStyle w:val="BodyCopy"/>
        <w:rPr>
          <w:sz w:val="21"/>
          <w:szCs w:val="21"/>
          <w:lang w:val="en-GB"/>
        </w:rPr>
      </w:pPr>
      <w:r w:rsidRPr="000C1730">
        <w:rPr>
          <w:sz w:val="21"/>
          <w:szCs w:val="21"/>
          <w:lang w:val="en-GB"/>
        </w:rPr>
        <w:t> </w:t>
      </w:r>
    </w:p>
    <w:p w14:paraId="3DD7FC04" w14:textId="77777777" w:rsidR="00D92A6B" w:rsidRPr="000C1730" w:rsidRDefault="00D92A6B" w:rsidP="00D92A6B">
      <w:pPr>
        <w:pStyle w:val="BodyCopy"/>
        <w:rPr>
          <w:sz w:val="21"/>
          <w:szCs w:val="21"/>
          <w:lang w:val="en-GB"/>
        </w:rPr>
      </w:pPr>
      <w:r w:rsidRPr="000C1730">
        <w:rPr>
          <w:b/>
          <w:bCs/>
          <w:sz w:val="21"/>
          <w:szCs w:val="21"/>
          <w:lang w:val="fr-FR"/>
        </w:rPr>
        <w:t>CBRE</w:t>
      </w:r>
      <w:r w:rsidRPr="000C1730">
        <w:rPr>
          <w:b/>
          <w:bCs/>
          <w:sz w:val="21"/>
          <w:szCs w:val="21"/>
          <w:lang w:val="cs-CZ"/>
        </w:rPr>
        <w:t> </w:t>
      </w:r>
      <w:r w:rsidRPr="000C1730">
        <w:rPr>
          <w:sz w:val="21"/>
          <w:szCs w:val="21"/>
          <w:lang w:val="en-GB"/>
        </w:rPr>
        <w:t>  </w:t>
      </w:r>
    </w:p>
    <w:p w14:paraId="21EC0AE8" w14:textId="77777777" w:rsidR="00D92A6B" w:rsidRPr="000C1730" w:rsidRDefault="00D92A6B" w:rsidP="00D92A6B">
      <w:pPr>
        <w:pStyle w:val="BodyCopy"/>
        <w:rPr>
          <w:sz w:val="21"/>
          <w:szCs w:val="21"/>
          <w:lang w:val="en-GB"/>
        </w:rPr>
      </w:pPr>
      <w:r w:rsidRPr="000C1730">
        <w:rPr>
          <w:sz w:val="21"/>
          <w:szCs w:val="21"/>
          <w:lang w:val="fr-FR"/>
        </w:rPr>
        <w:t xml:space="preserve">Ivana Procházková, Communication Specialist, +420 771 288 023, </w:t>
      </w:r>
      <w:r w:rsidRPr="000C1730">
        <w:rPr>
          <w:sz w:val="21"/>
          <w:szCs w:val="21"/>
          <w:lang w:val="en-GB"/>
        </w:rPr>
        <w:fldChar w:fldCharType="begin"/>
      </w:r>
      <w:r w:rsidRPr="000C1730">
        <w:rPr>
          <w:sz w:val="21"/>
          <w:szCs w:val="21"/>
          <w:lang w:val="en-GB"/>
        </w:rPr>
        <w:instrText>HYPERLINK "mailto:ivana.prochazkova@cbre.com" \t "_blank"</w:instrText>
      </w:r>
      <w:r w:rsidRPr="000C1730">
        <w:rPr>
          <w:sz w:val="21"/>
          <w:szCs w:val="21"/>
          <w:lang w:val="en-GB"/>
        </w:rPr>
      </w:r>
      <w:r w:rsidRPr="000C1730">
        <w:rPr>
          <w:sz w:val="21"/>
          <w:szCs w:val="21"/>
          <w:lang w:val="en-GB"/>
        </w:rPr>
        <w:fldChar w:fldCharType="separate"/>
      </w:r>
      <w:r w:rsidRPr="000C1730">
        <w:rPr>
          <w:rStyle w:val="Hypertextovodkaz"/>
          <w:sz w:val="21"/>
          <w:szCs w:val="21"/>
          <w:lang w:val="fr-FR"/>
        </w:rPr>
        <w:t>ivana.prochazkova@cbre.com</w:t>
      </w:r>
      <w:r w:rsidRPr="000C1730">
        <w:rPr>
          <w:sz w:val="21"/>
          <w:szCs w:val="21"/>
        </w:rPr>
        <w:fldChar w:fldCharType="end"/>
      </w:r>
      <w:r w:rsidRPr="000C1730">
        <w:rPr>
          <w:sz w:val="21"/>
          <w:szCs w:val="21"/>
          <w:lang w:val="fr-FR"/>
        </w:rPr>
        <w:t>  </w:t>
      </w:r>
      <w:r w:rsidRPr="000C1730">
        <w:rPr>
          <w:sz w:val="21"/>
          <w:szCs w:val="21"/>
          <w:lang w:val="en-GB"/>
        </w:rPr>
        <w:t>  </w:t>
      </w:r>
    </w:p>
    <w:p w14:paraId="776B3DDF" w14:textId="77777777" w:rsidR="00D92A6B" w:rsidRPr="000C1730" w:rsidRDefault="00D92A6B" w:rsidP="00D92A6B">
      <w:pPr>
        <w:pStyle w:val="BodyCopy"/>
        <w:rPr>
          <w:sz w:val="21"/>
          <w:szCs w:val="21"/>
          <w:lang w:val="en-GB"/>
        </w:rPr>
      </w:pPr>
      <w:r w:rsidRPr="000C1730">
        <w:rPr>
          <w:sz w:val="21"/>
          <w:szCs w:val="21"/>
          <w:lang w:val="cs-CZ"/>
        </w:rPr>
        <w:t>CBRE Česká republika </w:t>
      </w:r>
      <w:hyperlink r:id="rId12" w:tgtFrame="_blank" w:history="1">
        <w:r w:rsidRPr="000C1730">
          <w:rPr>
            <w:rStyle w:val="Hypertextovodkaz"/>
            <w:sz w:val="21"/>
            <w:szCs w:val="21"/>
            <w:lang w:val="cs-CZ"/>
          </w:rPr>
          <w:t>Facebook</w:t>
        </w:r>
      </w:hyperlink>
      <w:r w:rsidRPr="000C1730">
        <w:rPr>
          <w:sz w:val="21"/>
          <w:szCs w:val="21"/>
          <w:lang w:val="cs-CZ"/>
        </w:rPr>
        <w:t xml:space="preserve">, </w:t>
      </w:r>
      <w:hyperlink r:id="rId13" w:tgtFrame="_blank" w:history="1">
        <w:r w:rsidRPr="000C1730">
          <w:rPr>
            <w:rStyle w:val="Hypertextovodkaz"/>
            <w:sz w:val="21"/>
            <w:szCs w:val="21"/>
            <w:lang w:val="cs-CZ"/>
          </w:rPr>
          <w:t>LinkedIn</w:t>
        </w:r>
      </w:hyperlink>
      <w:r w:rsidRPr="000C1730">
        <w:rPr>
          <w:sz w:val="21"/>
          <w:szCs w:val="21"/>
          <w:u w:val="single"/>
          <w:lang w:val="cs-CZ"/>
        </w:rPr>
        <w:t>,</w:t>
      </w:r>
      <w:r w:rsidRPr="000C1730">
        <w:rPr>
          <w:sz w:val="21"/>
          <w:szCs w:val="21"/>
          <w:lang w:val="cs-CZ"/>
        </w:rPr>
        <w:t xml:space="preserve"> </w:t>
      </w:r>
      <w:hyperlink r:id="rId14" w:tgtFrame="_blank" w:history="1">
        <w:r w:rsidRPr="000C1730">
          <w:rPr>
            <w:rStyle w:val="Hypertextovodkaz"/>
            <w:sz w:val="21"/>
            <w:szCs w:val="21"/>
            <w:lang w:val="cs-CZ"/>
          </w:rPr>
          <w:t>Instagram</w:t>
        </w:r>
      </w:hyperlink>
      <w:r w:rsidRPr="000C1730">
        <w:rPr>
          <w:b/>
          <w:bCs/>
          <w:sz w:val="21"/>
          <w:szCs w:val="21"/>
          <w:lang w:val="cs-CZ"/>
        </w:rPr>
        <w:t> </w:t>
      </w:r>
      <w:r w:rsidRPr="000C1730">
        <w:rPr>
          <w:sz w:val="21"/>
          <w:szCs w:val="21"/>
          <w:lang w:val="en-GB"/>
        </w:rPr>
        <w:t>  </w:t>
      </w:r>
    </w:p>
    <w:p w14:paraId="68317AD0" w14:textId="77777777" w:rsidR="00D92A6B" w:rsidRPr="00D92A6B" w:rsidRDefault="00D92A6B" w:rsidP="00D92A6B">
      <w:pPr>
        <w:pStyle w:val="BodyCopy"/>
        <w:rPr>
          <w:lang w:val="en-GB"/>
        </w:rPr>
      </w:pPr>
      <w:r w:rsidRPr="00D92A6B">
        <w:rPr>
          <w:lang w:val="en-GB"/>
        </w:rPr>
        <w:t>  </w:t>
      </w:r>
    </w:p>
    <w:p w14:paraId="227C0F0E" w14:textId="56E37C11" w:rsidR="00D92A6B" w:rsidRPr="00D92A6B" w:rsidRDefault="00D92A6B" w:rsidP="00D92A6B">
      <w:pPr>
        <w:pStyle w:val="Boilerplate"/>
        <w:jc w:val="both"/>
        <w:rPr>
          <w:bCs/>
          <w:color w:val="808080" w:themeColor="background1" w:themeShade="80"/>
          <w:u w:val="single"/>
          <w:lang w:val="cs-CZ"/>
        </w:rPr>
      </w:pPr>
      <w:r w:rsidRPr="00D92A6B">
        <w:rPr>
          <w:bCs/>
          <w:color w:val="808080" w:themeColor="background1" w:themeShade="80"/>
          <w:u w:val="single"/>
          <w:lang w:val="cs-CZ"/>
        </w:rPr>
        <w:t>O CBRE</w:t>
      </w:r>
    </w:p>
    <w:p w14:paraId="0C5A548C" w14:textId="2E8F9523" w:rsidR="00D92A6B" w:rsidRPr="00D92A6B" w:rsidRDefault="00D92A6B" w:rsidP="00D92A6B">
      <w:pPr>
        <w:pStyle w:val="Boilerplate"/>
        <w:jc w:val="both"/>
        <w:rPr>
          <w:color w:val="808080" w:themeColor="background1" w:themeShade="80"/>
          <w:lang w:val="cs-CZ"/>
        </w:rPr>
      </w:pPr>
      <w:r w:rsidRPr="00D92A6B">
        <w:rPr>
          <w:color w:val="808080" w:themeColor="background1" w:themeShade="80"/>
          <w:lang w:val="cs-CZ"/>
        </w:rPr>
        <w:t xml:space="preserve">CBRE Group, Inc. (NYSE:CBRE), společnost figurující na žebříčku </w:t>
      </w:r>
      <w:proofErr w:type="spellStart"/>
      <w:r w:rsidRPr="00D92A6B">
        <w:rPr>
          <w:color w:val="808080" w:themeColor="background1" w:themeShade="80"/>
          <w:lang w:val="cs-CZ"/>
        </w:rPr>
        <w:t>Fortune</w:t>
      </w:r>
      <w:proofErr w:type="spellEnd"/>
      <w:r w:rsidRPr="00D92A6B">
        <w:rPr>
          <w:color w:val="808080" w:themeColor="background1" w:themeShade="80"/>
          <w:lang w:val="cs-CZ"/>
        </w:rPr>
        <w:t xml:space="preserve"> 500 a indexu S&amp;P 500 se sídlem v Dallasu, je světovým lídrem v oblasti komerčních realitních služeb a investic (z hlediska výnosů za rok 2024). S přibližně 140 000 zaměstnanci (vyjma zaměstnanců společnosti Turner &amp; </w:t>
      </w:r>
      <w:proofErr w:type="spellStart"/>
      <w:r w:rsidRPr="00D92A6B">
        <w:rPr>
          <w:color w:val="808080" w:themeColor="background1" w:themeShade="80"/>
          <w:lang w:val="cs-CZ"/>
        </w:rPr>
        <w:t>Townsend</w:t>
      </w:r>
      <w:proofErr w:type="spellEnd"/>
      <w:r w:rsidRPr="00D92A6B">
        <w:rPr>
          <w:color w:val="808080" w:themeColor="background1" w:themeShade="80"/>
          <w:lang w:val="cs-CZ"/>
        </w:rPr>
        <w:t xml:space="preserve">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1,5 mil. m2. Pro více informací navštivte internetové stránky společnosti na </w:t>
      </w:r>
      <w:hyperlink r:id="rId15" w:history="1">
        <w:r w:rsidRPr="009F5FEB">
          <w:rPr>
            <w:rStyle w:val="Hypertextovodkaz"/>
            <w:lang w:val="cs-CZ"/>
          </w:rPr>
          <w:t>www.cbre.cz</w:t>
        </w:r>
      </w:hyperlink>
      <w:r w:rsidRPr="00D92A6B">
        <w:rPr>
          <w:color w:val="808080" w:themeColor="background1" w:themeShade="80"/>
          <w:lang w:val="cs-CZ"/>
        </w:rPr>
        <w:t>.  </w:t>
      </w:r>
    </w:p>
    <w:sectPr w:rsidR="00D92A6B" w:rsidRPr="00D92A6B" w:rsidSect="00E01C37">
      <w:headerReference w:type="default" r:id="rId16"/>
      <w:headerReference w:type="first" r:id="rId17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CD959" w14:textId="77777777" w:rsidR="00991E65" w:rsidRDefault="00991E65" w:rsidP="00C63036">
      <w:r>
        <w:separator/>
      </w:r>
    </w:p>
  </w:endnote>
  <w:endnote w:type="continuationSeparator" w:id="0">
    <w:p w14:paraId="15603CEB" w14:textId="77777777" w:rsidR="00991E65" w:rsidRDefault="00991E65" w:rsidP="00C63036">
      <w:r>
        <w:continuationSeparator/>
      </w:r>
    </w:p>
  </w:endnote>
  <w:endnote w:type="continuationNotice" w:id="1">
    <w:p w14:paraId="3026E046" w14:textId="77777777" w:rsidR="00991E65" w:rsidRDefault="00991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E0574" w14:textId="77777777" w:rsidR="00991E65" w:rsidRDefault="00991E65" w:rsidP="00C63036">
      <w:r>
        <w:separator/>
      </w:r>
    </w:p>
  </w:footnote>
  <w:footnote w:type="continuationSeparator" w:id="0">
    <w:p w14:paraId="28F2DB69" w14:textId="77777777" w:rsidR="00991E65" w:rsidRDefault="00991E65" w:rsidP="00C63036">
      <w:r>
        <w:continuationSeparator/>
      </w:r>
    </w:p>
  </w:footnote>
  <w:footnote w:type="continuationNotice" w:id="1">
    <w:p w14:paraId="088E7A8D" w14:textId="77777777" w:rsidR="00991E65" w:rsidRDefault="00991E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AEFA8" w14:textId="40162E0F" w:rsidR="00E30CD4" w:rsidRPr="00D92A6B" w:rsidRDefault="00E30CD4" w:rsidP="0094537E">
    <w:pPr>
      <w:pStyle w:val="Zhlav"/>
      <w:jc w:val="right"/>
      <w:rPr>
        <w:lang w:val="cs-CZ"/>
      </w:rPr>
    </w:pPr>
    <w:r w:rsidRPr="00D92A6B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92A6B" w:rsidRPr="00D92A6B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76E" w14:textId="77777777" w:rsidR="00E30CD4" w:rsidRDefault="00E30CD4">
    <w:pPr>
      <w:pStyle w:val="Zhlav"/>
    </w:pP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11AEA9" wp14:editId="7E667A75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D6E82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</w:rPr>
      <w:drawing>
        <wp:anchor distT="0" distB="0" distL="114300" distR="114300" simplePos="0" relativeHeight="251658242" behindDoc="1" locked="0" layoutInCell="1" allowOverlap="1" wp14:anchorId="3C74DE61" wp14:editId="6A83FD16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912AA1" wp14:editId="301D4312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A2E88C" w14:textId="7AE5473E" w:rsidR="00E30CD4" w:rsidRPr="00D92A6B" w:rsidRDefault="00D92A6B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</w:pPr>
                          <w:r w:rsidRPr="00D92A6B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912A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6DA2E88C" w14:textId="7AE5473E" w:rsidR="00E30CD4" w:rsidRPr="00D92A6B" w:rsidRDefault="00D92A6B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</w:pPr>
                    <w:r w:rsidRPr="00D92A6B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AD"/>
    <w:rsid w:val="00003B8F"/>
    <w:rsid w:val="000060F0"/>
    <w:rsid w:val="000065CB"/>
    <w:rsid w:val="0002350E"/>
    <w:rsid w:val="00027A58"/>
    <w:rsid w:val="00031661"/>
    <w:rsid w:val="00031C0A"/>
    <w:rsid w:val="00043F8E"/>
    <w:rsid w:val="000572C5"/>
    <w:rsid w:val="00061034"/>
    <w:rsid w:val="00064B63"/>
    <w:rsid w:val="00065F36"/>
    <w:rsid w:val="00073689"/>
    <w:rsid w:val="00085778"/>
    <w:rsid w:val="00086000"/>
    <w:rsid w:val="00087C05"/>
    <w:rsid w:val="000A542D"/>
    <w:rsid w:val="000B6295"/>
    <w:rsid w:val="000B642B"/>
    <w:rsid w:val="000C1730"/>
    <w:rsid w:val="000C28F1"/>
    <w:rsid w:val="000C4059"/>
    <w:rsid w:val="000C5ABF"/>
    <w:rsid w:val="000C5BA9"/>
    <w:rsid w:val="000C7040"/>
    <w:rsid w:val="000D153D"/>
    <w:rsid w:val="000E3EC9"/>
    <w:rsid w:val="00107912"/>
    <w:rsid w:val="00111DB2"/>
    <w:rsid w:val="001236E0"/>
    <w:rsid w:val="001300F4"/>
    <w:rsid w:val="0013470D"/>
    <w:rsid w:val="00136C3A"/>
    <w:rsid w:val="0013743F"/>
    <w:rsid w:val="00140E0A"/>
    <w:rsid w:val="00142145"/>
    <w:rsid w:val="001458C7"/>
    <w:rsid w:val="00151AD8"/>
    <w:rsid w:val="00157032"/>
    <w:rsid w:val="00162C07"/>
    <w:rsid w:val="001760A1"/>
    <w:rsid w:val="0018323D"/>
    <w:rsid w:val="001A2316"/>
    <w:rsid w:val="001A280B"/>
    <w:rsid w:val="001A2B9C"/>
    <w:rsid w:val="001C3542"/>
    <w:rsid w:val="001C6128"/>
    <w:rsid w:val="001C651A"/>
    <w:rsid w:val="001C6FD8"/>
    <w:rsid w:val="001C7A8E"/>
    <w:rsid w:val="001D15CA"/>
    <w:rsid w:val="001D2195"/>
    <w:rsid w:val="001D48C8"/>
    <w:rsid w:val="001E0021"/>
    <w:rsid w:val="00200B34"/>
    <w:rsid w:val="00200F6E"/>
    <w:rsid w:val="00212B42"/>
    <w:rsid w:val="00214804"/>
    <w:rsid w:val="00223B25"/>
    <w:rsid w:val="002246B0"/>
    <w:rsid w:val="0024756C"/>
    <w:rsid w:val="00257B6D"/>
    <w:rsid w:val="00262BA0"/>
    <w:rsid w:val="00272ADA"/>
    <w:rsid w:val="00277BA5"/>
    <w:rsid w:val="00280100"/>
    <w:rsid w:val="00284B93"/>
    <w:rsid w:val="00284BBD"/>
    <w:rsid w:val="002A0509"/>
    <w:rsid w:val="002A38EF"/>
    <w:rsid w:val="002B1B1A"/>
    <w:rsid w:val="002D7B12"/>
    <w:rsid w:val="002E2B8B"/>
    <w:rsid w:val="002E3D27"/>
    <w:rsid w:val="002E7282"/>
    <w:rsid w:val="002F4296"/>
    <w:rsid w:val="00301EFD"/>
    <w:rsid w:val="00303571"/>
    <w:rsid w:val="00305E8E"/>
    <w:rsid w:val="003072EA"/>
    <w:rsid w:val="00322110"/>
    <w:rsid w:val="00327060"/>
    <w:rsid w:val="003323F8"/>
    <w:rsid w:val="00332C41"/>
    <w:rsid w:val="00337D7D"/>
    <w:rsid w:val="00340476"/>
    <w:rsid w:val="003476EE"/>
    <w:rsid w:val="00352C6C"/>
    <w:rsid w:val="00354144"/>
    <w:rsid w:val="00355265"/>
    <w:rsid w:val="00355B8E"/>
    <w:rsid w:val="00364ACC"/>
    <w:rsid w:val="0036733B"/>
    <w:rsid w:val="0037702B"/>
    <w:rsid w:val="003A434C"/>
    <w:rsid w:val="003A53B5"/>
    <w:rsid w:val="003A541C"/>
    <w:rsid w:val="003A6346"/>
    <w:rsid w:val="003B046D"/>
    <w:rsid w:val="003B0F5E"/>
    <w:rsid w:val="003B44F1"/>
    <w:rsid w:val="003B59C4"/>
    <w:rsid w:val="003C4CC5"/>
    <w:rsid w:val="003D0738"/>
    <w:rsid w:val="003D2B00"/>
    <w:rsid w:val="003D2BF9"/>
    <w:rsid w:val="003D7E8F"/>
    <w:rsid w:val="003E2EB0"/>
    <w:rsid w:val="003E5D59"/>
    <w:rsid w:val="003F42F0"/>
    <w:rsid w:val="004023EE"/>
    <w:rsid w:val="0041668A"/>
    <w:rsid w:val="00423451"/>
    <w:rsid w:val="00435D10"/>
    <w:rsid w:val="004527F6"/>
    <w:rsid w:val="004567DF"/>
    <w:rsid w:val="004576AF"/>
    <w:rsid w:val="00461BC8"/>
    <w:rsid w:val="0046575D"/>
    <w:rsid w:val="00465B78"/>
    <w:rsid w:val="00483BED"/>
    <w:rsid w:val="00487F8C"/>
    <w:rsid w:val="004960B4"/>
    <w:rsid w:val="004A272D"/>
    <w:rsid w:val="004A627A"/>
    <w:rsid w:val="004B739F"/>
    <w:rsid w:val="004C11F4"/>
    <w:rsid w:val="004C4C0A"/>
    <w:rsid w:val="004C749C"/>
    <w:rsid w:val="004D2AC7"/>
    <w:rsid w:val="004D3ED2"/>
    <w:rsid w:val="004E0EF8"/>
    <w:rsid w:val="004E6BBF"/>
    <w:rsid w:val="004F46E2"/>
    <w:rsid w:val="005018FC"/>
    <w:rsid w:val="00507940"/>
    <w:rsid w:val="0051203F"/>
    <w:rsid w:val="00515372"/>
    <w:rsid w:val="00533E87"/>
    <w:rsid w:val="0054460C"/>
    <w:rsid w:val="0054772F"/>
    <w:rsid w:val="00552462"/>
    <w:rsid w:val="00554FEE"/>
    <w:rsid w:val="00555213"/>
    <w:rsid w:val="005623F8"/>
    <w:rsid w:val="0056286A"/>
    <w:rsid w:val="00566701"/>
    <w:rsid w:val="0057299D"/>
    <w:rsid w:val="00572B69"/>
    <w:rsid w:val="00582679"/>
    <w:rsid w:val="00585DCD"/>
    <w:rsid w:val="005903E1"/>
    <w:rsid w:val="0059494B"/>
    <w:rsid w:val="005A237A"/>
    <w:rsid w:val="005A4E5C"/>
    <w:rsid w:val="005B65B6"/>
    <w:rsid w:val="005B6DBF"/>
    <w:rsid w:val="005C1891"/>
    <w:rsid w:val="005C2B9C"/>
    <w:rsid w:val="005C7DAF"/>
    <w:rsid w:val="005D0390"/>
    <w:rsid w:val="005D209F"/>
    <w:rsid w:val="005D6347"/>
    <w:rsid w:val="005E0702"/>
    <w:rsid w:val="005E3242"/>
    <w:rsid w:val="005E3C08"/>
    <w:rsid w:val="005E504A"/>
    <w:rsid w:val="005F7F99"/>
    <w:rsid w:val="00601627"/>
    <w:rsid w:val="0061195C"/>
    <w:rsid w:val="006160A8"/>
    <w:rsid w:val="00620AAF"/>
    <w:rsid w:val="006231BB"/>
    <w:rsid w:val="00624FD4"/>
    <w:rsid w:val="006268F4"/>
    <w:rsid w:val="0063267C"/>
    <w:rsid w:val="006351A8"/>
    <w:rsid w:val="006451BD"/>
    <w:rsid w:val="0064541B"/>
    <w:rsid w:val="0064700E"/>
    <w:rsid w:val="00651E1D"/>
    <w:rsid w:val="0065401E"/>
    <w:rsid w:val="006570BD"/>
    <w:rsid w:val="00670A4C"/>
    <w:rsid w:val="006738F2"/>
    <w:rsid w:val="00677270"/>
    <w:rsid w:val="00680869"/>
    <w:rsid w:val="00685808"/>
    <w:rsid w:val="00690DBA"/>
    <w:rsid w:val="00694A49"/>
    <w:rsid w:val="006A0EEA"/>
    <w:rsid w:val="006A1F38"/>
    <w:rsid w:val="006A5A8D"/>
    <w:rsid w:val="006A6326"/>
    <w:rsid w:val="006B5B87"/>
    <w:rsid w:val="006C535E"/>
    <w:rsid w:val="006C561B"/>
    <w:rsid w:val="006E7ABB"/>
    <w:rsid w:val="00707376"/>
    <w:rsid w:val="0071780E"/>
    <w:rsid w:val="00722C2A"/>
    <w:rsid w:val="0073408B"/>
    <w:rsid w:val="00736F66"/>
    <w:rsid w:val="00737D98"/>
    <w:rsid w:val="00742D8F"/>
    <w:rsid w:val="00757A9D"/>
    <w:rsid w:val="00767C00"/>
    <w:rsid w:val="007917D9"/>
    <w:rsid w:val="007960B8"/>
    <w:rsid w:val="007A0E16"/>
    <w:rsid w:val="007A29ED"/>
    <w:rsid w:val="007A7D89"/>
    <w:rsid w:val="007B40F7"/>
    <w:rsid w:val="007B7C71"/>
    <w:rsid w:val="007C27D0"/>
    <w:rsid w:val="007C42AD"/>
    <w:rsid w:val="007C67F2"/>
    <w:rsid w:val="007D229F"/>
    <w:rsid w:val="007D51A8"/>
    <w:rsid w:val="007D5D42"/>
    <w:rsid w:val="007E236C"/>
    <w:rsid w:val="007E3A3A"/>
    <w:rsid w:val="007E5470"/>
    <w:rsid w:val="007F1287"/>
    <w:rsid w:val="007F4A3F"/>
    <w:rsid w:val="007F53DE"/>
    <w:rsid w:val="00804E5B"/>
    <w:rsid w:val="00813781"/>
    <w:rsid w:val="0082302F"/>
    <w:rsid w:val="00823FFA"/>
    <w:rsid w:val="0083142D"/>
    <w:rsid w:val="00831576"/>
    <w:rsid w:val="008455AA"/>
    <w:rsid w:val="0084782C"/>
    <w:rsid w:val="00850203"/>
    <w:rsid w:val="00856AB9"/>
    <w:rsid w:val="00870EFE"/>
    <w:rsid w:val="008719C1"/>
    <w:rsid w:val="00871C73"/>
    <w:rsid w:val="00871EB6"/>
    <w:rsid w:val="00883166"/>
    <w:rsid w:val="00886CC6"/>
    <w:rsid w:val="00891B0B"/>
    <w:rsid w:val="0089296D"/>
    <w:rsid w:val="008A163D"/>
    <w:rsid w:val="008A1F72"/>
    <w:rsid w:val="008A693E"/>
    <w:rsid w:val="008B6AE1"/>
    <w:rsid w:val="008E30E8"/>
    <w:rsid w:val="008F05F9"/>
    <w:rsid w:val="008F1D24"/>
    <w:rsid w:val="008F2B73"/>
    <w:rsid w:val="008F4915"/>
    <w:rsid w:val="008F4E12"/>
    <w:rsid w:val="008F772B"/>
    <w:rsid w:val="00904FEF"/>
    <w:rsid w:val="00907900"/>
    <w:rsid w:val="00920F84"/>
    <w:rsid w:val="00922D72"/>
    <w:rsid w:val="00927092"/>
    <w:rsid w:val="00933F9A"/>
    <w:rsid w:val="00940CE3"/>
    <w:rsid w:val="0094537E"/>
    <w:rsid w:val="00946CF8"/>
    <w:rsid w:val="0094783B"/>
    <w:rsid w:val="0095600E"/>
    <w:rsid w:val="009572CA"/>
    <w:rsid w:val="00960B28"/>
    <w:rsid w:val="00967D12"/>
    <w:rsid w:val="00973776"/>
    <w:rsid w:val="00991E65"/>
    <w:rsid w:val="00992DF6"/>
    <w:rsid w:val="009A12B2"/>
    <w:rsid w:val="009A18E3"/>
    <w:rsid w:val="009A2BF6"/>
    <w:rsid w:val="009A3B1E"/>
    <w:rsid w:val="009A66C4"/>
    <w:rsid w:val="009B4F34"/>
    <w:rsid w:val="009C08D6"/>
    <w:rsid w:val="009D0434"/>
    <w:rsid w:val="009D1231"/>
    <w:rsid w:val="009D1324"/>
    <w:rsid w:val="009D73A6"/>
    <w:rsid w:val="009E7677"/>
    <w:rsid w:val="009F514B"/>
    <w:rsid w:val="009F661D"/>
    <w:rsid w:val="00A04B2B"/>
    <w:rsid w:val="00A1544D"/>
    <w:rsid w:val="00A15C2E"/>
    <w:rsid w:val="00A212D2"/>
    <w:rsid w:val="00A26BF0"/>
    <w:rsid w:val="00A30F36"/>
    <w:rsid w:val="00A57E49"/>
    <w:rsid w:val="00A703C7"/>
    <w:rsid w:val="00A705E6"/>
    <w:rsid w:val="00A71B8E"/>
    <w:rsid w:val="00A745D6"/>
    <w:rsid w:val="00A7587B"/>
    <w:rsid w:val="00A85621"/>
    <w:rsid w:val="00A90A3A"/>
    <w:rsid w:val="00AA247D"/>
    <w:rsid w:val="00AA4E69"/>
    <w:rsid w:val="00AA7D23"/>
    <w:rsid w:val="00AB0F7F"/>
    <w:rsid w:val="00AB6D32"/>
    <w:rsid w:val="00AC3224"/>
    <w:rsid w:val="00AD56B6"/>
    <w:rsid w:val="00AE0EF6"/>
    <w:rsid w:val="00AE2449"/>
    <w:rsid w:val="00AE4112"/>
    <w:rsid w:val="00AE6554"/>
    <w:rsid w:val="00AF2412"/>
    <w:rsid w:val="00AF2EBE"/>
    <w:rsid w:val="00AF538F"/>
    <w:rsid w:val="00AF6356"/>
    <w:rsid w:val="00B0183F"/>
    <w:rsid w:val="00B14D94"/>
    <w:rsid w:val="00B15901"/>
    <w:rsid w:val="00B3633D"/>
    <w:rsid w:val="00B44022"/>
    <w:rsid w:val="00B45298"/>
    <w:rsid w:val="00B5069F"/>
    <w:rsid w:val="00B52BF3"/>
    <w:rsid w:val="00B61266"/>
    <w:rsid w:val="00B627CE"/>
    <w:rsid w:val="00B6628C"/>
    <w:rsid w:val="00B721CD"/>
    <w:rsid w:val="00B731D4"/>
    <w:rsid w:val="00B736E0"/>
    <w:rsid w:val="00B75B00"/>
    <w:rsid w:val="00B76BA6"/>
    <w:rsid w:val="00B80B6F"/>
    <w:rsid w:val="00B90463"/>
    <w:rsid w:val="00BB0E9C"/>
    <w:rsid w:val="00BB556C"/>
    <w:rsid w:val="00BB754F"/>
    <w:rsid w:val="00BC0CA9"/>
    <w:rsid w:val="00BC16A9"/>
    <w:rsid w:val="00BC4CF9"/>
    <w:rsid w:val="00BC727C"/>
    <w:rsid w:val="00BC730A"/>
    <w:rsid w:val="00BD1A58"/>
    <w:rsid w:val="00BE7B6E"/>
    <w:rsid w:val="00BF7463"/>
    <w:rsid w:val="00C15915"/>
    <w:rsid w:val="00C31B08"/>
    <w:rsid w:val="00C36015"/>
    <w:rsid w:val="00C51F31"/>
    <w:rsid w:val="00C56AC3"/>
    <w:rsid w:val="00C57BB4"/>
    <w:rsid w:val="00C63036"/>
    <w:rsid w:val="00C65190"/>
    <w:rsid w:val="00C8593C"/>
    <w:rsid w:val="00CB460E"/>
    <w:rsid w:val="00CC3DBC"/>
    <w:rsid w:val="00CF3E51"/>
    <w:rsid w:val="00D01B9D"/>
    <w:rsid w:val="00D10AF9"/>
    <w:rsid w:val="00D15FA3"/>
    <w:rsid w:val="00D17713"/>
    <w:rsid w:val="00D21093"/>
    <w:rsid w:val="00D3178C"/>
    <w:rsid w:val="00D449F5"/>
    <w:rsid w:val="00D5426E"/>
    <w:rsid w:val="00D54CE5"/>
    <w:rsid w:val="00D57A29"/>
    <w:rsid w:val="00D6004C"/>
    <w:rsid w:val="00D67169"/>
    <w:rsid w:val="00D76255"/>
    <w:rsid w:val="00D92A6B"/>
    <w:rsid w:val="00D96345"/>
    <w:rsid w:val="00DB1F6D"/>
    <w:rsid w:val="00DB3964"/>
    <w:rsid w:val="00DB6576"/>
    <w:rsid w:val="00DC0226"/>
    <w:rsid w:val="00DC25F5"/>
    <w:rsid w:val="00DD13D1"/>
    <w:rsid w:val="00DD5DA3"/>
    <w:rsid w:val="00DF6415"/>
    <w:rsid w:val="00E01C37"/>
    <w:rsid w:val="00E02087"/>
    <w:rsid w:val="00E0582A"/>
    <w:rsid w:val="00E11D59"/>
    <w:rsid w:val="00E14E0D"/>
    <w:rsid w:val="00E2340D"/>
    <w:rsid w:val="00E30CD4"/>
    <w:rsid w:val="00E4060F"/>
    <w:rsid w:val="00E43D88"/>
    <w:rsid w:val="00E470D1"/>
    <w:rsid w:val="00E5352D"/>
    <w:rsid w:val="00E53CA1"/>
    <w:rsid w:val="00E62B6A"/>
    <w:rsid w:val="00E633C0"/>
    <w:rsid w:val="00E65F35"/>
    <w:rsid w:val="00E7312A"/>
    <w:rsid w:val="00E76244"/>
    <w:rsid w:val="00E77793"/>
    <w:rsid w:val="00E80A8C"/>
    <w:rsid w:val="00E8799D"/>
    <w:rsid w:val="00EA2A8D"/>
    <w:rsid w:val="00EA427F"/>
    <w:rsid w:val="00EB03A9"/>
    <w:rsid w:val="00EB3A75"/>
    <w:rsid w:val="00EB4B64"/>
    <w:rsid w:val="00EB5D4C"/>
    <w:rsid w:val="00EC7CBA"/>
    <w:rsid w:val="00ED1394"/>
    <w:rsid w:val="00ED29E8"/>
    <w:rsid w:val="00EE0991"/>
    <w:rsid w:val="00EE3A21"/>
    <w:rsid w:val="00EE3BB0"/>
    <w:rsid w:val="00EF282A"/>
    <w:rsid w:val="00EF3053"/>
    <w:rsid w:val="00F0143E"/>
    <w:rsid w:val="00F042D0"/>
    <w:rsid w:val="00F05D86"/>
    <w:rsid w:val="00F05F99"/>
    <w:rsid w:val="00F07545"/>
    <w:rsid w:val="00F1654A"/>
    <w:rsid w:val="00F222C1"/>
    <w:rsid w:val="00F27A6E"/>
    <w:rsid w:val="00F31F9E"/>
    <w:rsid w:val="00F350C1"/>
    <w:rsid w:val="00F40950"/>
    <w:rsid w:val="00F41F5C"/>
    <w:rsid w:val="00F4380F"/>
    <w:rsid w:val="00F4774E"/>
    <w:rsid w:val="00F514ED"/>
    <w:rsid w:val="00F51DB7"/>
    <w:rsid w:val="00F52470"/>
    <w:rsid w:val="00F52687"/>
    <w:rsid w:val="00F55E50"/>
    <w:rsid w:val="00F60134"/>
    <w:rsid w:val="00F76455"/>
    <w:rsid w:val="00F81642"/>
    <w:rsid w:val="00F8259F"/>
    <w:rsid w:val="00F91534"/>
    <w:rsid w:val="00FB548F"/>
    <w:rsid w:val="00FC1B50"/>
    <w:rsid w:val="00FC6E1E"/>
    <w:rsid w:val="00FD0DC1"/>
    <w:rsid w:val="00FD3304"/>
    <w:rsid w:val="00FD4BF3"/>
    <w:rsid w:val="00FD733E"/>
    <w:rsid w:val="00FE0AFA"/>
    <w:rsid w:val="00FE224E"/>
    <w:rsid w:val="00FF3BA3"/>
    <w:rsid w:val="07C1A890"/>
    <w:rsid w:val="0B072D0F"/>
    <w:rsid w:val="1038B00E"/>
    <w:rsid w:val="1DE15B39"/>
    <w:rsid w:val="2AF09EA5"/>
    <w:rsid w:val="35B65646"/>
    <w:rsid w:val="40D1A937"/>
    <w:rsid w:val="49974884"/>
    <w:rsid w:val="4F2CCC9F"/>
    <w:rsid w:val="504604A6"/>
    <w:rsid w:val="646BA1CD"/>
    <w:rsid w:val="667D6139"/>
    <w:rsid w:val="6E07F254"/>
    <w:rsid w:val="706A40C7"/>
    <w:rsid w:val="75051F60"/>
    <w:rsid w:val="764EF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C6E65"/>
  <w15:docId w15:val="{EAF1679E-0519-4F61-AE1B-ED560470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3E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3E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3E8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3E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3E87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paragraph">
    <w:name w:val="paragraph"/>
    <w:basedOn w:val="Normln"/>
    <w:rsid w:val="005C7DAF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Standardnpsmoodstavce"/>
    <w:rsid w:val="005C7DAF"/>
  </w:style>
  <w:style w:type="character" w:customStyle="1" w:styleId="eop">
    <w:name w:val="eop"/>
    <w:basedOn w:val="Standardnpsmoodstavce"/>
    <w:rsid w:val="005C7DAF"/>
  </w:style>
  <w:style w:type="paragraph" w:styleId="Revize">
    <w:name w:val="Revision"/>
    <w:hidden/>
    <w:uiPriority w:val="99"/>
    <w:semiHidden/>
    <w:rsid w:val="00EB4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5700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92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4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62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1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1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1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2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0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pages/CBRE-News/626929170775263?ref=ts&amp;fref=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estcom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e.cz" TargetMode="External"/><Relationship Id="rId10" Type="http://schemas.openxmlformats.org/officeDocument/2006/relationships/hyperlink" Target="mailto:kamila.cadkova@crestcom.cz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hyperlink" Target="https://www.instagram.com/cbre_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rman\Downloads\2021_press_release_template%20(1)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16B2A7-B0A8-42F0-A539-56882046D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7AEF9-1970-47E9-A861-85662FCEE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3179F-69EA-4EA2-AA3A-8FF4FCD1991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Metadata/LabelInfo.xml><?xml version="1.0" encoding="utf-8"?>
<clbl:labelList xmlns:clbl="http://schemas.microsoft.com/office/2020/mipLabelMetadata">
  <clbl:label id="{a4033ad9-086f-4644-8250-c4b04e194685}" enabled="1" method="Privileged" siteId="{0159e9d0-09a0-4edf-96ba-a3deea363c2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 (1)</Template>
  <TotalTime>12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CBRE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Mirman, Corey @ Corporate Communications</dc:creator>
  <cp:keywords/>
  <cp:lastModifiedBy>Denisa Kolaříková</cp:lastModifiedBy>
  <cp:revision>5</cp:revision>
  <cp:lastPrinted>2023-12-12T18:35:00Z</cp:lastPrinted>
  <dcterms:created xsi:type="dcterms:W3CDTF">2025-02-24T08:48:00Z</dcterms:created>
  <dcterms:modified xsi:type="dcterms:W3CDTF">2025-02-24T11:08:00Z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2e07bf9cd05b419f08bbe6a0cfc25b2567a991c2dcc512bf619ef5a07575a297</vt:lpwstr>
  </property>
  <property fmtid="{D5CDD505-2E9C-101B-9397-08002B2CF9AE}" pid="3" name="ContentTypeId">
    <vt:lpwstr>0x010100D037425BC85BAC47A18BE758018E6255</vt:lpwstr>
  </property>
</Properties>
</file>